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方正小标宋_GBK" w:eastAsia="方正小标宋_GBK" w:cs="宋体"/>
          <w:bCs/>
          <w:sz w:val="36"/>
          <w:szCs w:val="36"/>
        </w:rPr>
      </w:pPr>
      <w:r>
        <w:rPr>
          <w:rFonts w:hint="eastAsia" w:ascii="方正小标宋_GBK" w:eastAsia="方正小标宋_GBK" w:cs="宋体"/>
          <w:bCs/>
          <w:sz w:val="36"/>
          <w:szCs w:val="36"/>
        </w:rPr>
        <w:t>企业技术需求登记表</w:t>
      </w:r>
    </w:p>
    <w:p>
      <w:pPr>
        <w:spacing w:line="320" w:lineRule="exact"/>
        <w:jc w:val="center"/>
        <w:rPr>
          <w:rFonts w:ascii="方正小标宋_GBK" w:eastAsia="方正小标宋_GBK" w:cs="宋体"/>
          <w:bCs/>
          <w:sz w:val="18"/>
          <w:szCs w:val="18"/>
        </w:rPr>
      </w:pPr>
      <w:r>
        <w:rPr>
          <w:rFonts w:hint="eastAsia" w:ascii="方正小标宋_GBK" w:eastAsia="方正小标宋_GBK" w:cs="宋体"/>
          <w:bCs/>
          <w:sz w:val="18"/>
          <w:szCs w:val="18"/>
        </w:rPr>
        <w:t>（□可网上公开   □不可网上公开）</w:t>
      </w:r>
    </w:p>
    <w:p>
      <w:pPr>
        <w:wordWrap w:val="0"/>
        <w:ind w:right="420" w:firstLine="5670" w:firstLineChars="2700"/>
        <w:rPr>
          <w:rFonts w:ascii="方正黑体_GBK" w:hAnsi="宋体" w:eastAsia="方正黑体_GBK"/>
        </w:rPr>
      </w:pPr>
      <w:r>
        <w:rPr>
          <w:rFonts w:hint="eastAsia" w:ascii="方正黑体_GBK" w:hAnsi="宋体" w:eastAsia="方正黑体_GBK" w:cs="宋体"/>
          <w:bCs/>
        </w:rPr>
        <w:t>填报时间：2020年</w:t>
      </w:r>
      <w:r>
        <w:rPr>
          <w:rFonts w:hint="eastAsia" w:ascii="方正黑体_GBK" w:hAnsi="宋体" w:cs="宋体"/>
          <w:bCs/>
          <w:lang w:val="en-US" w:eastAsia="zh-CN"/>
        </w:rPr>
        <w:t>8</w:t>
      </w:r>
      <w:r>
        <w:rPr>
          <w:rFonts w:hint="eastAsia" w:ascii="方正黑体_GBK" w:hAnsi="宋体" w:eastAsia="方正黑体_GBK" w:cs="宋体"/>
          <w:bCs/>
        </w:rPr>
        <w:t>月</w:t>
      </w:r>
    </w:p>
    <w:tbl>
      <w:tblPr>
        <w:tblStyle w:val="7"/>
        <w:tblW w:w="8990" w:type="dxa"/>
        <w:jc w:val="center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5"/>
        <w:gridCol w:w="1754"/>
        <w:gridCol w:w="992"/>
        <w:gridCol w:w="1701"/>
        <w:gridCol w:w="667"/>
        <w:gridCol w:w="42"/>
        <w:gridCol w:w="666"/>
        <w:gridCol w:w="1603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企业名称</w:t>
            </w:r>
          </w:p>
        </w:tc>
        <w:tc>
          <w:tcPr>
            <w:tcW w:w="5114" w:type="dxa"/>
            <w:gridSpan w:val="4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outlineLvl w:val="0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通富</w:t>
            </w:r>
            <w:r>
              <w:rPr>
                <w:rFonts w:ascii="方正仿宋_GBK" w:eastAsia="方正仿宋_GBK" w:cs="宋体"/>
                <w:bCs/>
              </w:rPr>
              <w:t>微电子股份有限公司</w:t>
            </w:r>
          </w:p>
        </w:tc>
        <w:tc>
          <w:tcPr>
            <w:tcW w:w="708" w:type="dxa"/>
            <w:gridSpan w:val="2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属地</w:t>
            </w:r>
          </w:p>
        </w:tc>
        <w:tc>
          <w:tcPr>
            <w:tcW w:w="1603" w:type="dxa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南通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1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企业简介</w:t>
            </w:r>
          </w:p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（300字以内）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ind w:firstLine="420" w:firstLineChars="200"/>
              <w:jc w:val="lef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通富微电是全球第六、全国前三大IC 封测企业。目前拥有Cu pillar、solder bumping、FC、WLCSP、BGA、LGA、SiP 等先进封测技术。公司是国家重点高企、电子信息百强企业,拥有国家级企业技术中心。作为国家重大专项骨干承担单位，拥有核心专利500 多件，多次荣获省科技奖。</w:t>
            </w:r>
            <w:bookmarkStart w:id="2" w:name="_GoBack"/>
            <w:bookmarkEnd w:id="2"/>
          </w:p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公司积极进行科研布局，在大基金支持下，投资数十亿元，在合肥、苏通、厦门建立集成电路BUMP、BGA封测基地；收购AMD 槟城、苏州厂，建立国内高端处理器封测基地。封测技术世界先进。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/>
              </w:rPr>
              <w:t>主要产品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/>
              </w:rPr>
              <w:t>显示屏幕驱动芯片COP封装用金凸块工艺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产业领域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jc w:val="lef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/>
              </w:rPr>
              <w:t>□船舶海工 □</w:t>
            </w:r>
            <w:r>
              <w:rPr>
                <w:rFonts w:ascii="方正仿宋_GBK" w:eastAsia="方正仿宋_GBK"/>
              </w:rPr>
              <w:t>高端纺织</w:t>
            </w:r>
            <w:r>
              <w:rPr>
                <w:rFonts w:hint="eastAsia" w:ascii="方正仿宋_GBK" w:eastAsia="方正仿宋_GBK"/>
              </w:rPr>
              <w:t>□</w:t>
            </w:r>
            <w:r>
              <w:rPr>
                <w:rFonts w:ascii="方正仿宋_GBK" w:eastAsia="方正仿宋_GBK"/>
              </w:rPr>
              <w:t>电子信息</w:t>
            </w:r>
            <w:r>
              <w:rPr>
                <w:rFonts w:hint="eastAsia" w:ascii="方正仿宋_GBK" w:eastAsia="方正仿宋_GBK"/>
              </w:rPr>
              <w:t>□</w:t>
            </w:r>
            <w:r>
              <w:rPr>
                <w:rFonts w:ascii="方正仿宋_GBK" w:eastAsia="方正仿宋_GBK"/>
              </w:rPr>
              <w:t>智能装备</w:t>
            </w:r>
            <w:r>
              <w:rPr>
                <w:rFonts w:hint="eastAsia" w:ascii="方正仿宋_GBK" w:eastAsia="方正仿宋_GBK"/>
              </w:rPr>
              <w:t>□</w:t>
            </w:r>
            <w:r>
              <w:rPr>
                <w:rFonts w:ascii="方正仿宋_GBK" w:eastAsia="方正仿宋_GBK"/>
              </w:rPr>
              <w:t>新材料</w:t>
            </w:r>
            <w:r>
              <w:rPr>
                <w:rFonts w:hint="eastAsia" w:ascii="方正仿宋_GBK" w:eastAsia="方正仿宋_GBK"/>
              </w:rPr>
              <w:t xml:space="preserve">  □</w:t>
            </w:r>
            <w:r>
              <w:rPr>
                <w:rFonts w:ascii="方正仿宋_GBK" w:eastAsia="方正仿宋_GBK"/>
              </w:rPr>
              <w:t xml:space="preserve">新能源及新能源汽车 </w:t>
            </w:r>
            <w:r>
              <w:rPr>
                <w:rFonts w:hint="eastAsia" w:ascii="方正仿宋_GBK" w:eastAsia="方正仿宋_GBK"/>
              </w:rPr>
              <w:t xml:space="preserve">□智慧建筑 □生物医药 </w:t>
            </w:r>
            <w:r>
              <w:rPr>
                <w:rFonts w:hint="eastAsia" w:ascii="微软雅黑" w:hAnsi="微软雅黑" w:eastAsia="微软雅黑"/>
              </w:rPr>
              <w:t>■</w:t>
            </w:r>
            <w:r>
              <w:rPr>
                <w:rFonts w:ascii="方正仿宋_GBK" w:eastAsia="方正仿宋_GBK"/>
              </w:rPr>
              <w:t>其他</w:t>
            </w:r>
            <w:r>
              <w:rPr>
                <w:rFonts w:hint="eastAsia" w:ascii="方正仿宋_GBK" w:eastAsia="方正仿宋_GBK"/>
              </w:rPr>
              <w:t>半导体，芯片封装测试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项目名称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outlineLvl w:val="0"/>
              <w:rPr>
                <w:rFonts w:ascii="方正仿宋_GBK" w:eastAsia="方正仿宋_GBK"/>
              </w:rPr>
            </w:pPr>
            <w:bookmarkStart w:id="0" w:name="OLE_LINK12"/>
            <w:bookmarkStart w:id="1" w:name="OLE_LINK13"/>
            <w:r>
              <w:rPr>
                <w:rFonts w:hint="eastAsia" w:ascii="方正仿宋_GBK" w:eastAsia="方正仿宋_GBK"/>
              </w:rPr>
              <w:t>柔性AMOLED屏驱动芯片COP封装关键 Gold Bump 技术研发</w:t>
            </w:r>
            <w:bookmarkEnd w:id="0"/>
            <w:bookmarkEnd w:id="1"/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1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技术难题（包括技术背景、需要解决技术问题、技术指标等内容）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项目技术背景：</w:t>
            </w:r>
          </w:p>
          <w:p>
            <w:pPr>
              <w:spacing w:line="360" w:lineRule="exact"/>
              <w:ind w:firstLine="420" w:firstLineChars="200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本项目目标产品是柔性AMOLED屏幕驱动芯片，是智能手机屏幕中不可或缺的芯片。 采用</w:t>
            </w:r>
            <w:r>
              <w:rPr>
                <w:rFonts w:ascii="方正仿宋_GBK" w:eastAsia="方正仿宋_GBK" w:cs="宋体"/>
                <w:bCs/>
              </w:rPr>
              <w:t>COP封装工艺</w:t>
            </w:r>
            <w:r>
              <w:rPr>
                <w:rFonts w:hint="eastAsia" w:ascii="方正仿宋_GBK" w:eastAsia="方正仿宋_GBK" w:cs="宋体"/>
                <w:bCs/>
              </w:rPr>
              <w:t>才能</w:t>
            </w:r>
            <w:r>
              <w:rPr>
                <w:rFonts w:ascii="方正仿宋_GBK" w:eastAsia="方正仿宋_GBK" w:cs="宋体"/>
                <w:bCs/>
              </w:rPr>
              <w:t>够</w:t>
            </w:r>
            <w:r>
              <w:rPr>
                <w:rFonts w:hint="eastAsia" w:ascii="方正仿宋_GBK" w:eastAsia="方正仿宋_GBK" w:cs="宋体"/>
                <w:bCs/>
              </w:rPr>
              <w:t>大幅度提高屏幕的屏占比，</w:t>
            </w:r>
            <w:r>
              <w:rPr>
                <w:rFonts w:ascii="方正仿宋_GBK" w:eastAsia="方正仿宋_GBK" w:cs="宋体"/>
                <w:bCs/>
              </w:rPr>
              <w:t>COP英文全称为Chip On P</w:t>
            </w:r>
            <w:r>
              <w:rPr>
                <w:rFonts w:hint="eastAsia" w:ascii="方正仿宋_GBK" w:eastAsia="方正仿宋_GBK" w:cs="宋体"/>
                <w:bCs/>
              </w:rPr>
              <w:t>I</w:t>
            </w:r>
            <w:r>
              <w:rPr>
                <w:rFonts w:ascii="方正仿宋_GBK" w:eastAsia="方正仿宋_GBK" w:cs="宋体"/>
                <w:bCs/>
              </w:rPr>
              <w:t>，是一种全新的屏幕封装工艺，原理是直接将</w:t>
            </w:r>
            <w:r>
              <w:rPr>
                <w:rFonts w:hint="eastAsia" w:ascii="方正仿宋_GBK" w:eastAsia="方正仿宋_GBK" w:cs="宋体"/>
                <w:bCs/>
              </w:rPr>
              <w:t>柔性</w:t>
            </w:r>
            <w:r>
              <w:rPr>
                <w:rFonts w:ascii="方正仿宋_GBK" w:eastAsia="方正仿宋_GBK" w:cs="宋体"/>
                <w:bCs/>
              </w:rPr>
              <w:t>屏幕的一部分弯曲，从而进一步缩小边框，可以达到近乎无边框的效果</w:t>
            </w:r>
            <w:r>
              <w:rPr>
                <w:rFonts w:hint="eastAsia" w:ascii="方正仿宋_GBK" w:eastAsia="方正仿宋_GBK" w:cs="宋体"/>
                <w:bCs/>
              </w:rPr>
              <w:t>，是柔性</w:t>
            </w:r>
            <w:r>
              <w:rPr>
                <w:rFonts w:ascii="方正仿宋_GBK" w:eastAsia="方正仿宋_GBK" w:cs="宋体"/>
                <w:bCs/>
              </w:rPr>
              <w:t>AMOLED</w:t>
            </w:r>
            <w:r>
              <w:rPr>
                <w:rFonts w:hint="eastAsia" w:ascii="方正仿宋_GBK" w:eastAsia="方正仿宋_GBK" w:cs="宋体"/>
                <w:bCs/>
              </w:rPr>
              <w:t>屏的可饶式翻折设计唯一的解决方案。</w:t>
            </w:r>
          </w:p>
          <w:p>
            <w:pPr>
              <w:spacing w:line="360" w:lineRule="exact"/>
              <w:ind w:firstLine="420" w:firstLineChars="200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目前柔性屏的COP封装工艺技术主要掌握在韩国三星集团手中，之外台湾的颀邦科技仅完成工程阶段的小量产。通富微电的COP封装用Gold Bump技术能够填补国内此类封装技术的空白。COP封装用Gold Bump工艺，需要配合面板厂的柔性线路，进行倾斜bump设计与加工，而且需要超高硬度的电镀工艺，与以往标准的 COG 与 COF 工艺应用的传统Gold bump 工艺大大不同，给封装厂带来了极大的挑战。</w:t>
            </w:r>
          </w:p>
          <w:p>
            <w:pPr>
              <w:spacing w:line="360" w:lineRule="exact"/>
              <w:ind w:firstLine="420" w:firstLineChars="200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如何实现高密度、窄间距的倾斜bump的光刻、电镀、蚀刻的工艺，满足COP封装用的Gold bump的超高硬度要求，以及对倾斜Bump 的2D 与 3D AOI 检验技术，是本项目力图解决的问题。</w:t>
            </w:r>
          </w:p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项目研究主要技术内容：</w:t>
            </w:r>
          </w:p>
          <w:p>
            <w:pPr>
              <w:spacing w:line="360" w:lineRule="exact"/>
              <w:ind w:firstLine="420" w:firstLineChars="200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1.</w:t>
            </w:r>
            <w:r>
              <w:rPr>
                <w:rFonts w:hint="eastAsia" w:ascii="方正仿宋_GBK" w:eastAsia="方正仿宋_GBK" w:cs="宋体"/>
                <w:bCs/>
              </w:rPr>
              <w:tab/>
            </w:r>
            <w:r>
              <w:rPr>
                <w:rFonts w:hint="eastAsia" w:ascii="方正仿宋_GBK" w:eastAsia="方正仿宋_GBK" w:cs="宋体"/>
                <w:bCs/>
              </w:rPr>
              <w:t>采用高精度光刻技术，解决窄间距倾斜bump 的光刻及显影问题；</w:t>
            </w:r>
          </w:p>
          <w:p>
            <w:pPr>
              <w:spacing w:line="360" w:lineRule="exact"/>
              <w:ind w:firstLine="420" w:firstLineChars="200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2.</w:t>
            </w:r>
            <w:r>
              <w:rPr>
                <w:rFonts w:hint="eastAsia" w:ascii="方正仿宋_GBK" w:eastAsia="方正仿宋_GBK" w:cs="宋体"/>
                <w:bCs/>
              </w:rPr>
              <w:tab/>
            </w:r>
            <w:r>
              <w:rPr>
                <w:rFonts w:hint="eastAsia" w:ascii="方正仿宋_GBK" w:eastAsia="方正仿宋_GBK" w:cs="宋体"/>
                <w:bCs/>
              </w:rPr>
              <w:t>采用超高硬度的镀液体系，搭配全新的电镀工艺参数，达到超高硬度的需求目标：105</w:t>
            </w:r>
            <w:r>
              <w:rPr>
                <w:rFonts w:hint="eastAsia" w:ascii="微软雅黑" w:hAnsi="微软雅黑" w:eastAsia="微软雅黑" w:cs="宋体"/>
                <w:bCs/>
              </w:rPr>
              <w:t>±</w:t>
            </w:r>
            <w:r>
              <w:rPr>
                <w:rFonts w:hint="eastAsia" w:ascii="方正仿宋_GBK" w:eastAsia="方正仿宋_GBK" w:cs="宋体"/>
                <w:bCs/>
              </w:rPr>
              <w:t>15HV。</w:t>
            </w:r>
          </w:p>
          <w:p>
            <w:pPr>
              <w:spacing w:line="360" w:lineRule="exact"/>
              <w:ind w:firstLine="420" w:firstLineChars="200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3.</w:t>
            </w:r>
            <w:r>
              <w:rPr>
                <w:rFonts w:hint="eastAsia" w:ascii="方正仿宋_GBK" w:eastAsia="方正仿宋_GBK" w:cs="宋体"/>
                <w:bCs/>
              </w:rPr>
              <w:tab/>
            </w:r>
            <w:r>
              <w:rPr>
                <w:rFonts w:hint="eastAsia" w:ascii="方正仿宋_GBK" w:eastAsia="方正仿宋_GBK" w:cs="宋体"/>
                <w:bCs/>
              </w:rPr>
              <w:t>通过优化蚀刻工艺参数，克服蚀刻液流场方向性的差异，解决倾斜bump 间距间的UBM 蚀刻问题，确保无UBM残留，</w:t>
            </w:r>
            <w:r>
              <w:rPr>
                <w:rFonts w:ascii="方正仿宋_GBK" w:eastAsia="方正仿宋_GBK" w:cs="宋体"/>
                <w:bCs/>
              </w:rPr>
              <w:t>Y</w:t>
            </w:r>
            <w:r>
              <w:rPr>
                <w:rFonts w:hint="eastAsia" w:ascii="方正仿宋_GBK" w:eastAsia="方正仿宋_GBK" w:cs="宋体"/>
                <w:bCs/>
              </w:rPr>
              <w:t>ield99.5%以上。</w:t>
            </w:r>
          </w:p>
          <w:p>
            <w:pPr>
              <w:spacing w:line="360" w:lineRule="exact"/>
              <w:ind w:firstLine="420" w:firstLineChars="200"/>
              <w:rPr>
                <w:rFonts w:ascii="方正仿宋_GBK" w:eastAsia="方正仿宋_GBK" w:cs="宋体"/>
                <w:sz w:val="28"/>
              </w:rPr>
            </w:pPr>
            <w:r>
              <w:rPr>
                <w:rFonts w:hint="eastAsia" w:ascii="方正仿宋_GBK" w:eastAsia="方正仿宋_GBK" w:cs="宋体"/>
                <w:bCs/>
              </w:rPr>
              <w:t>4.</w:t>
            </w:r>
            <w:r>
              <w:rPr>
                <w:rFonts w:hint="eastAsia" w:ascii="方正仿宋_GBK" w:eastAsia="方正仿宋_GBK" w:cs="宋体"/>
                <w:bCs/>
              </w:rPr>
              <w:tab/>
            </w:r>
            <w:r>
              <w:rPr>
                <w:rFonts w:hint="eastAsia" w:ascii="方正仿宋_GBK" w:eastAsia="方正仿宋_GBK" w:cs="宋体"/>
                <w:bCs/>
              </w:rPr>
              <w:t>开发新的检验方案，对倾斜bump进行2D及3D 的检验，确保产品的品质保证。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意向解决方式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 xml:space="preserve">□委托开发  </w:t>
            </w:r>
            <w:r>
              <w:rPr>
                <w:rFonts w:hint="eastAsia" w:ascii="微软雅黑" w:hAnsi="微软雅黑" w:eastAsia="微软雅黑" w:cs="宋体"/>
                <w:bCs/>
              </w:rPr>
              <w:t>■</w:t>
            </w:r>
            <w:r>
              <w:rPr>
                <w:rFonts w:hint="eastAsia" w:ascii="方正仿宋_GBK" w:eastAsia="方正仿宋_GBK" w:cs="宋体"/>
                <w:bCs/>
              </w:rPr>
              <w:t>联合攻关  □成果引进  □技术指导  □其它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40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hAnsi="宋体" w:eastAsia="方正仿宋_GBK" w:cs="宋体"/>
                <w:szCs w:val="21"/>
              </w:rPr>
              <w:t>引进成果阶段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400" w:lineRule="exact"/>
              <w:ind w:hanging="6"/>
              <w:rPr>
                <w:rFonts w:ascii="方正仿宋_GBK" w:hAnsi="宋体" w:eastAsia="方正仿宋_GBK" w:cs="宋体"/>
                <w:bCs/>
                <w:szCs w:val="21"/>
              </w:rPr>
            </w:pPr>
            <w:r>
              <w:rPr>
                <w:rFonts w:hint="eastAsia" w:ascii="微软雅黑" w:hAnsi="微软雅黑" w:eastAsia="微软雅黑" w:cs="宋体"/>
                <w:bCs/>
                <w:szCs w:val="21"/>
              </w:rPr>
              <w:t>■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>研制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>□试生产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 xml:space="preserve"> □小批量生产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 xml:space="preserve"> □批量生产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 xml:space="preserve"> □其它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计划投入资金</w:t>
            </w:r>
          </w:p>
        </w:tc>
        <w:tc>
          <w:tcPr>
            <w:tcW w:w="2746" w:type="dxa"/>
            <w:gridSpan w:val="2"/>
            <w:vAlign w:val="center"/>
          </w:tcPr>
          <w:p>
            <w:pPr>
              <w:spacing w:line="360" w:lineRule="exact"/>
              <w:jc w:val="righ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/>
              </w:rPr>
              <w:t>100万元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解决难题期限</w:t>
            </w:r>
          </w:p>
        </w:tc>
        <w:tc>
          <w:tcPr>
            <w:tcW w:w="2978" w:type="dxa"/>
            <w:gridSpan w:val="4"/>
            <w:vAlign w:val="center"/>
          </w:tcPr>
          <w:p>
            <w:pPr>
              <w:spacing w:line="360" w:lineRule="exact"/>
              <w:jc w:val="righ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/>
              </w:rPr>
              <w:t>3个月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项目联系人</w:t>
            </w:r>
          </w:p>
        </w:tc>
        <w:tc>
          <w:tcPr>
            <w:tcW w:w="1754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缪小勇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电话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1</w:t>
            </w:r>
            <w:r>
              <w:rPr>
                <w:rFonts w:ascii="方正仿宋_GBK" w:eastAsia="方正仿宋_GBK" w:cs="宋体"/>
                <w:bCs/>
              </w:rPr>
              <w:t>8962911196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邮箱</w:t>
            </w:r>
          </w:p>
        </w:tc>
        <w:tc>
          <w:tcPr>
            <w:tcW w:w="226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/>
                <w:bCs/>
              </w:rPr>
              <w:t>M</w:t>
            </w:r>
            <w:r>
              <w:rPr>
                <w:rFonts w:hint="eastAsia" w:ascii="方正仿宋_GBK" w:eastAsia="方正仿宋_GBK" w:cs="宋体"/>
                <w:bCs/>
              </w:rPr>
              <w:t>iao</w:t>
            </w:r>
            <w:r>
              <w:rPr>
                <w:rFonts w:ascii="方正仿宋_GBK" w:eastAsia="方正仿宋_GBK" w:cs="宋体"/>
                <w:bCs/>
              </w:rPr>
              <w:t>.xy@tfme.com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技术负责人</w:t>
            </w:r>
          </w:p>
        </w:tc>
        <w:tc>
          <w:tcPr>
            <w:tcW w:w="1754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孙彬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电话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18962807779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邮箱</w:t>
            </w:r>
          </w:p>
        </w:tc>
        <w:tc>
          <w:tcPr>
            <w:tcW w:w="226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/>
                <w:bCs/>
              </w:rPr>
              <w:t>sun.bin@tfme.com</w:t>
            </w:r>
          </w:p>
        </w:tc>
      </w:tr>
    </w:tbl>
    <w:p>
      <w:pPr>
        <w:spacing w:line="240" w:lineRule="exact"/>
        <w:rPr>
          <w:rFonts w:ascii="方正仿宋_GBK" w:hAnsi="宋体" w:eastAsia="方正仿宋_GBK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77319498"/>
    </w:sdtPr>
    <w:sdtEndPr>
      <w:rPr>
        <w:sz w:val="21"/>
      </w:rPr>
    </w:sdtEndPr>
    <w:sdtContent>
      <w:p>
        <w:pPr>
          <w:pStyle w:val="3"/>
          <w:jc w:val="right"/>
          <w:rPr>
            <w:sz w:val="21"/>
          </w:rPr>
        </w:pPr>
        <w:r>
          <w:rPr>
            <w:rFonts w:hint="eastAsia"/>
            <w:sz w:val="21"/>
          </w:rPr>
          <w:t>—</w:t>
        </w:r>
        <w:r>
          <w:rPr>
            <w:sz w:val="21"/>
          </w:rPr>
          <w:fldChar w:fldCharType="begin"/>
        </w:r>
        <w:r>
          <w:rPr>
            <w:sz w:val="21"/>
          </w:rPr>
          <w:instrText xml:space="preserve">PAGE   \* MERGEFORMAT</w:instrText>
        </w:r>
        <w:r>
          <w:rPr>
            <w:sz w:val="21"/>
          </w:rPr>
          <w:fldChar w:fldCharType="separate"/>
        </w:r>
        <w:r>
          <w:rPr>
            <w:sz w:val="21"/>
            <w:lang w:val="zh-CN"/>
          </w:rPr>
          <w:t>1</w:t>
        </w:r>
        <w:r>
          <w:rPr>
            <w:sz w:val="21"/>
          </w:rPr>
          <w:fldChar w:fldCharType="end"/>
        </w:r>
        <w:r>
          <w:rPr>
            <w:rFonts w:hint="eastAsia"/>
            <w:sz w:val="21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sz w:val="22"/>
      </w:rPr>
    </w:pPr>
    <w:r>
      <w:rPr>
        <w:rFonts w:hint="eastAsia"/>
        <w:sz w:val="22"/>
      </w:rPr>
      <w:t>—</w:t>
    </w:r>
    <w:sdt>
      <w:sdtPr>
        <w:rPr>
          <w:sz w:val="22"/>
        </w:rPr>
        <w:id w:val="4324608"/>
      </w:sdtPr>
      <w:sdtEndPr>
        <w:rPr>
          <w:sz w:val="22"/>
        </w:rPr>
      </w:sdtEndPr>
      <w:sdtContent>
        <w:r>
          <w:rPr>
            <w:sz w:val="22"/>
          </w:rPr>
          <w:fldChar w:fldCharType="begin"/>
        </w:r>
        <w:r>
          <w:rPr>
            <w:sz w:val="22"/>
          </w:rPr>
          <w:instrText xml:space="preserve">PAGE   \* MERGEFORMAT</w:instrText>
        </w:r>
        <w:r>
          <w:rPr>
            <w:sz w:val="22"/>
          </w:rPr>
          <w:fldChar w:fldCharType="separate"/>
        </w:r>
        <w:r>
          <w:rPr>
            <w:sz w:val="22"/>
            <w:lang w:val="zh-CN"/>
          </w:rPr>
          <w:t>2</w:t>
        </w:r>
        <w:r>
          <w:rPr>
            <w:sz w:val="22"/>
          </w:rPr>
          <w:fldChar w:fldCharType="end"/>
        </w:r>
        <w:r>
          <w:rPr>
            <w:rFonts w:hint="eastAsia"/>
            <w:sz w:val="22"/>
          </w:rPr>
          <w:t>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0691"/>
    <w:rsid w:val="000354C2"/>
    <w:rsid w:val="000A508B"/>
    <w:rsid w:val="00103CA1"/>
    <w:rsid w:val="001070A8"/>
    <w:rsid w:val="00261110"/>
    <w:rsid w:val="00304178"/>
    <w:rsid w:val="00366903"/>
    <w:rsid w:val="003854CB"/>
    <w:rsid w:val="0040451B"/>
    <w:rsid w:val="00411EB7"/>
    <w:rsid w:val="00475C0A"/>
    <w:rsid w:val="00491D88"/>
    <w:rsid w:val="00582CF4"/>
    <w:rsid w:val="005866AF"/>
    <w:rsid w:val="005C0954"/>
    <w:rsid w:val="006C59CB"/>
    <w:rsid w:val="00704D27"/>
    <w:rsid w:val="007707F8"/>
    <w:rsid w:val="00862A5F"/>
    <w:rsid w:val="008A1E6D"/>
    <w:rsid w:val="00940893"/>
    <w:rsid w:val="009A7EFB"/>
    <w:rsid w:val="009E678D"/>
    <w:rsid w:val="00A90691"/>
    <w:rsid w:val="00CA7730"/>
    <w:rsid w:val="00CB5F5B"/>
    <w:rsid w:val="00CF0507"/>
    <w:rsid w:val="00D06ACB"/>
    <w:rsid w:val="00D41244"/>
    <w:rsid w:val="00D9237F"/>
    <w:rsid w:val="00DD3403"/>
    <w:rsid w:val="00EA5200"/>
    <w:rsid w:val="00ED3796"/>
    <w:rsid w:val="00F16459"/>
    <w:rsid w:val="00F57D68"/>
    <w:rsid w:val="00F840EA"/>
    <w:rsid w:val="00FC4DD0"/>
    <w:rsid w:val="135E204A"/>
    <w:rsid w:val="5AF74A34"/>
    <w:rsid w:val="5F334D07"/>
    <w:rsid w:val="633439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99"/>
    <w:rPr>
      <w:rFonts w:cs="Times New Roman"/>
    </w:rPr>
  </w:style>
  <w:style w:type="character" w:customStyle="1" w:styleId="8">
    <w:name w:val="页脚 Char"/>
    <w:basedOn w:val="5"/>
    <w:link w:val="3"/>
    <w:uiPriority w:val="99"/>
    <w:rPr>
      <w:rFonts w:ascii="Times New Roman" w:hAnsi="Times New Roman" w:cs="Times New Roman"/>
      <w:sz w:val="18"/>
      <w:szCs w:val="18"/>
    </w:rPr>
  </w:style>
  <w:style w:type="character" w:customStyle="1" w:styleId="9">
    <w:name w:val="页眉 Char"/>
    <w:basedOn w:val="5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Times New Roman" w:hAnsi="Times New Roman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2</Pages>
  <Words>204</Words>
  <Characters>1167</Characters>
  <Lines>9</Lines>
  <Paragraphs>2</Paragraphs>
  <TotalTime>7</TotalTime>
  <ScaleCrop>false</ScaleCrop>
  <LinksUpToDate>false</LinksUpToDate>
  <CharactersWithSpaces>1369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2020-03-13T07:31:00Z</dcterms:created>
  <dc:creator>系统管理员</dc:creator>
  <cp:lastModifiedBy>ǒ` 冬冬</cp:lastModifiedBy>
  <dcterms:modified xsi:type="dcterms:W3CDTF">2020-08-18T01:08:50Z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